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center"/>
        <w:rPr>
          <w:rFonts w:ascii="Tahoma" w:hAnsi="Tahoma" w:cs="Tahoma"/>
          <w:b/>
          <w:bCs/>
        </w:rPr>
      </w:pPr>
      <w:r w:rsidRPr="00F81E12">
        <w:rPr>
          <w:rFonts w:ascii="Tahoma" w:hAnsi="Tahoma" w:cs="Tahoma"/>
          <w:b/>
          <w:bCs/>
        </w:rPr>
        <w:t>EDITAL DE CREDENCIAMENTO – N.º 01/2017</w:t>
      </w: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</w:p>
    <w:p w:rsidR="00F43A3B" w:rsidRPr="00F81E12" w:rsidRDefault="00F43A3B" w:rsidP="00F81E12">
      <w:pPr>
        <w:pStyle w:val="Ttulo7"/>
        <w:spacing w:before="0" w:line="360" w:lineRule="auto"/>
        <w:jc w:val="both"/>
        <w:rPr>
          <w:rFonts w:ascii="Tahoma" w:eastAsia="Calibri" w:hAnsi="Tahoma" w:cs="Tahoma"/>
          <w:i w:val="0"/>
          <w:color w:val="auto"/>
        </w:rPr>
      </w:pPr>
      <w:r w:rsidRPr="00F81E12">
        <w:rPr>
          <w:rFonts w:ascii="Tahoma" w:eastAsia="Calibri" w:hAnsi="Tahoma" w:cs="Tahoma"/>
          <w:i w:val="0"/>
          <w:color w:val="auto"/>
        </w:rPr>
        <w:t xml:space="preserve">O Município de Celso Ramos torna público que a partir da data de </w:t>
      </w:r>
      <w:r w:rsidR="00251627">
        <w:rPr>
          <w:rFonts w:ascii="Tahoma" w:eastAsia="Calibri" w:hAnsi="Tahoma" w:cs="Tahoma"/>
          <w:i w:val="0"/>
          <w:color w:val="auto"/>
        </w:rPr>
        <w:t>01/03</w:t>
      </w:r>
      <w:bookmarkStart w:id="0" w:name="_GoBack"/>
      <w:bookmarkEnd w:id="0"/>
      <w:r w:rsidRPr="00F81E12">
        <w:rPr>
          <w:rFonts w:ascii="Tahoma" w:eastAsia="Calibri" w:hAnsi="Tahoma" w:cs="Tahoma"/>
          <w:i w:val="0"/>
          <w:color w:val="auto"/>
        </w:rPr>
        <w:t xml:space="preserve">/2017, estará recebendo em sua sede, situada na Rua Dom Daniel </w:t>
      </w:r>
      <w:proofErr w:type="spellStart"/>
      <w:r w:rsidRPr="00F81E12">
        <w:rPr>
          <w:rFonts w:ascii="Tahoma" w:eastAsia="Calibri" w:hAnsi="Tahoma" w:cs="Tahoma"/>
          <w:i w:val="0"/>
          <w:color w:val="auto"/>
        </w:rPr>
        <w:t>Hostin</w:t>
      </w:r>
      <w:proofErr w:type="spellEnd"/>
      <w:r w:rsidRPr="00F81E12">
        <w:rPr>
          <w:rFonts w:ascii="Tahoma" w:eastAsia="Calibri" w:hAnsi="Tahoma" w:cs="Tahoma"/>
          <w:i w:val="0"/>
          <w:color w:val="auto"/>
        </w:rPr>
        <w:t>, nº 930, centro, a respectiva DOCUMENTAÇÃO das empresas interessadas em efetuar o fornecimento de peças para a Prefeitura Municipal, conforme especificado no Edital do Processo de Licitação nº 21/2016, Pregão Presencial n. 16/2017 e de acordo com as condições adiante estabelecidas neste Edital.</w:t>
      </w: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b/>
          <w:bCs/>
        </w:rPr>
      </w:pP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b/>
          <w:bCs/>
        </w:rPr>
      </w:pPr>
      <w:r w:rsidRPr="00F81E12">
        <w:rPr>
          <w:rFonts w:ascii="Tahoma" w:hAnsi="Tahoma" w:cs="Tahoma"/>
          <w:b/>
          <w:bCs/>
        </w:rPr>
        <w:t>1 – DO OBJETIVO:</w:t>
      </w: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F81E12">
        <w:rPr>
          <w:rFonts w:ascii="Tahoma" w:hAnsi="Tahoma" w:cs="Tahoma"/>
        </w:rPr>
        <w:t xml:space="preserve">O objetivo do presente Edital é a contratação de EMPRESAS fornecedoras de peças interessadas em efetuar venda dos respectivos produtos à Prefeitura Municipal de Celso Ramos, conforme disposto na Constituição Federal, Leis 8.666/93 e as demais disposições legais e regulamentares aplicáveis à espécie, mediante a celebração </w:t>
      </w:r>
      <w:r w:rsidRPr="00F81E12">
        <w:rPr>
          <w:rFonts w:ascii="Tahoma" w:hAnsi="Tahoma" w:cs="Tahoma"/>
          <w:bCs/>
        </w:rPr>
        <w:t>de</w:t>
      </w:r>
      <w:r w:rsidRPr="00F81E12">
        <w:rPr>
          <w:rFonts w:ascii="Tahoma" w:hAnsi="Tahoma" w:cs="Tahoma"/>
          <w:b/>
          <w:bCs/>
        </w:rPr>
        <w:t xml:space="preserve"> CREDENCIAMENTO PARA EFETUAR A VENDA DE PEÇAS</w:t>
      </w:r>
      <w:r w:rsidRPr="00F81E12">
        <w:rPr>
          <w:rFonts w:ascii="Tahoma" w:hAnsi="Tahoma" w:cs="Tahoma"/>
        </w:rPr>
        <w:t xml:space="preserve">, mediante compatibilização das necessidades e demanda da frota de veículos e a disponibilidade de recursos financeiros da Prefeitura Municipal. </w:t>
      </w: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b/>
          <w:bCs/>
        </w:rPr>
      </w:pP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b/>
          <w:bCs/>
        </w:rPr>
      </w:pPr>
      <w:r w:rsidRPr="00F81E12">
        <w:rPr>
          <w:rFonts w:ascii="Tahoma" w:hAnsi="Tahoma" w:cs="Tahoma"/>
          <w:b/>
          <w:bCs/>
        </w:rPr>
        <w:t>2 – CONDIÇÕES PARA CREDENCIAMENTO</w:t>
      </w: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F81E12">
        <w:rPr>
          <w:rFonts w:ascii="Tahoma" w:hAnsi="Tahoma" w:cs="Tahoma"/>
        </w:rPr>
        <w:t>2.1. Os interessados poderão inscrever-se para o Credenciamento e respectivo fornecimento de peças a partir da primeira publicação do presente instrumento.</w:t>
      </w: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F81E12">
        <w:rPr>
          <w:rFonts w:ascii="Tahoma" w:hAnsi="Tahoma" w:cs="Tahoma"/>
        </w:rPr>
        <w:t>2.2. Serão consideradas credenciadas as empresas que apresentarem os Documentos enumerados no item 3.1 deste instrumento.</w:t>
      </w: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F81E12">
        <w:rPr>
          <w:rFonts w:ascii="Tahoma" w:hAnsi="Tahoma" w:cs="Tahoma"/>
        </w:rPr>
        <w:t>2.3. Os interessados poderão ter acesso ao Edital através da retirada de cópia no Setor de Compras e Licitações da Prefeitura Municipal de Celso Ramos, e ou no site www.celsoramos.sc.gov.br.</w:t>
      </w: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F81E12">
        <w:rPr>
          <w:rFonts w:ascii="Tahoma" w:hAnsi="Tahoma" w:cs="Tahoma"/>
        </w:rPr>
        <w:t xml:space="preserve">2.4. Os interessados deverão encaminhar os documentos relacionados no item 3.1 Setor de Compras e Licitações da Prefeitura Municipal de Celso Ramos, situada na Rua Dom Daniel </w:t>
      </w:r>
      <w:proofErr w:type="spellStart"/>
      <w:r w:rsidRPr="00F81E12">
        <w:rPr>
          <w:rFonts w:ascii="Tahoma" w:hAnsi="Tahoma" w:cs="Tahoma"/>
        </w:rPr>
        <w:t>Hostin</w:t>
      </w:r>
      <w:proofErr w:type="spellEnd"/>
      <w:r w:rsidRPr="00F81E12">
        <w:rPr>
          <w:rFonts w:ascii="Tahoma" w:hAnsi="Tahoma" w:cs="Tahoma"/>
        </w:rPr>
        <w:t xml:space="preserve">, n. 930, Centro, de segunda à sexta-feira, das </w:t>
      </w:r>
      <w:proofErr w:type="gramStart"/>
      <w:r w:rsidRPr="00F81E12">
        <w:rPr>
          <w:rFonts w:ascii="Tahoma" w:hAnsi="Tahoma" w:cs="Tahoma"/>
        </w:rPr>
        <w:t>08:00</w:t>
      </w:r>
      <w:proofErr w:type="gramEnd"/>
      <w:r w:rsidRPr="00F81E12">
        <w:rPr>
          <w:rFonts w:ascii="Tahoma" w:hAnsi="Tahoma" w:cs="Tahoma"/>
        </w:rPr>
        <w:t xml:space="preserve"> às 11:30 e das 13:00 às 17:30.</w:t>
      </w: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b/>
          <w:bCs/>
        </w:rPr>
      </w:pP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b/>
          <w:bCs/>
        </w:rPr>
      </w:pPr>
      <w:proofErr w:type="gramStart"/>
      <w:r w:rsidRPr="00F81E12">
        <w:rPr>
          <w:rFonts w:ascii="Tahoma" w:hAnsi="Tahoma" w:cs="Tahoma"/>
          <w:b/>
          <w:bCs/>
        </w:rPr>
        <w:t>3 – DOCUMENTAÇÃO</w:t>
      </w:r>
      <w:proofErr w:type="gramEnd"/>
      <w:r w:rsidRPr="00F81E12">
        <w:rPr>
          <w:rFonts w:ascii="Tahoma" w:hAnsi="Tahoma" w:cs="Tahoma"/>
          <w:b/>
          <w:bCs/>
        </w:rPr>
        <w:t xml:space="preserve"> REFERENTE À HABILITAÇÃO</w:t>
      </w: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F81E12">
        <w:rPr>
          <w:rFonts w:ascii="Tahoma" w:hAnsi="Tahoma" w:cs="Tahoma"/>
        </w:rPr>
        <w:t>3.1. Para credenciamento as empresas deverão apresentar os seguintes documentos:</w:t>
      </w: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F81E12">
        <w:rPr>
          <w:rFonts w:ascii="Tahoma" w:hAnsi="Tahoma" w:cs="Tahoma"/>
        </w:rPr>
        <w:t>Documentos de habilitação</w:t>
      </w: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</w:p>
    <w:p w:rsidR="00F43A3B" w:rsidRPr="00F81E12" w:rsidRDefault="00F43A3B" w:rsidP="00F81E12">
      <w:pPr>
        <w:pStyle w:val="NormalWeb"/>
        <w:numPr>
          <w:ilvl w:val="0"/>
          <w:numId w:val="2"/>
        </w:numPr>
        <w:tabs>
          <w:tab w:val="clear" w:pos="720"/>
          <w:tab w:val="num" w:pos="0"/>
        </w:tabs>
        <w:spacing w:before="0" w:after="0" w:line="360" w:lineRule="auto"/>
        <w:ind w:left="0" w:firstLine="0"/>
        <w:jc w:val="both"/>
        <w:rPr>
          <w:rFonts w:ascii="Tahoma" w:eastAsiaTheme="minorHAnsi" w:hAnsi="Tahoma" w:cs="Tahoma"/>
          <w:color w:val="auto"/>
          <w:sz w:val="22"/>
          <w:szCs w:val="22"/>
          <w:lang w:eastAsia="en-US"/>
        </w:rPr>
      </w:pPr>
      <w:r w:rsidRPr="00F81E12">
        <w:rPr>
          <w:rFonts w:ascii="Tahoma" w:eastAsiaTheme="minorHAnsi" w:hAnsi="Tahoma" w:cs="Tahoma"/>
          <w:color w:val="auto"/>
          <w:sz w:val="22"/>
          <w:szCs w:val="22"/>
          <w:lang w:eastAsia="en-US"/>
        </w:rPr>
        <w:t>Registro comercial, no caso de empresa individual;</w:t>
      </w:r>
    </w:p>
    <w:p w:rsidR="00F43A3B" w:rsidRPr="00F81E12" w:rsidRDefault="00F43A3B" w:rsidP="00F81E12">
      <w:pPr>
        <w:pStyle w:val="NormalWeb"/>
        <w:numPr>
          <w:ilvl w:val="0"/>
          <w:numId w:val="3"/>
        </w:numPr>
        <w:tabs>
          <w:tab w:val="clear" w:pos="720"/>
          <w:tab w:val="num" w:pos="0"/>
        </w:tabs>
        <w:spacing w:before="0" w:after="0" w:line="360" w:lineRule="auto"/>
        <w:ind w:left="0" w:firstLine="0"/>
        <w:jc w:val="both"/>
        <w:rPr>
          <w:rFonts w:ascii="Tahoma" w:eastAsiaTheme="minorHAnsi" w:hAnsi="Tahoma" w:cs="Tahoma"/>
          <w:color w:val="auto"/>
          <w:sz w:val="22"/>
          <w:szCs w:val="22"/>
          <w:lang w:eastAsia="en-US"/>
        </w:rPr>
      </w:pPr>
      <w:r w:rsidRPr="00F81E12">
        <w:rPr>
          <w:rFonts w:ascii="Tahoma" w:eastAsiaTheme="minorHAnsi" w:hAnsi="Tahoma" w:cs="Tahoma"/>
          <w:color w:val="auto"/>
          <w:sz w:val="22"/>
          <w:szCs w:val="22"/>
          <w:lang w:eastAsia="en-US"/>
        </w:rPr>
        <w:t>Certidão simplificada expedida pela Junta Comercial do estado onde se situa a sede da licitante ou ato constitutivo e alterações subsequentes, devidamente registrados, em se tratando de sociedade comercial, e no caso de sociedade por ações, acompanhado de documentos de eleição de seus administradores – SINTEGRA;</w:t>
      </w:r>
    </w:p>
    <w:p w:rsidR="00F43A3B" w:rsidRPr="00F81E12" w:rsidRDefault="00F43A3B" w:rsidP="00F81E12">
      <w:pPr>
        <w:pStyle w:val="NormalWeb"/>
        <w:numPr>
          <w:ilvl w:val="0"/>
          <w:numId w:val="4"/>
        </w:numPr>
        <w:tabs>
          <w:tab w:val="clear" w:pos="720"/>
          <w:tab w:val="num" w:pos="0"/>
        </w:tabs>
        <w:spacing w:before="0" w:after="0" w:line="360" w:lineRule="auto"/>
        <w:ind w:left="0" w:firstLine="0"/>
        <w:jc w:val="both"/>
        <w:rPr>
          <w:rFonts w:ascii="Tahoma" w:eastAsiaTheme="minorHAnsi" w:hAnsi="Tahoma" w:cs="Tahoma"/>
          <w:color w:val="auto"/>
          <w:sz w:val="22"/>
          <w:szCs w:val="22"/>
          <w:lang w:eastAsia="en-US"/>
        </w:rPr>
      </w:pPr>
      <w:r w:rsidRPr="00F81E12">
        <w:rPr>
          <w:rFonts w:ascii="Tahoma" w:eastAsiaTheme="minorHAnsi" w:hAnsi="Tahoma" w:cs="Tahoma"/>
          <w:color w:val="auto"/>
          <w:sz w:val="22"/>
          <w:szCs w:val="22"/>
          <w:lang w:eastAsia="en-US"/>
        </w:rPr>
        <w:t xml:space="preserve">Inscrição do ato constitutivo, no caso de sociedades civis, acompanhada da prova de diretoria em exercício; </w:t>
      </w:r>
    </w:p>
    <w:p w:rsidR="00F43A3B" w:rsidRPr="00F81E12" w:rsidRDefault="00F43A3B" w:rsidP="00F81E12">
      <w:pPr>
        <w:pStyle w:val="NormalWeb"/>
        <w:numPr>
          <w:ilvl w:val="0"/>
          <w:numId w:val="5"/>
        </w:numPr>
        <w:tabs>
          <w:tab w:val="clear" w:pos="720"/>
          <w:tab w:val="num" w:pos="0"/>
        </w:tabs>
        <w:spacing w:before="0" w:after="0" w:line="360" w:lineRule="auto"/>
        <w:ind w:left="0" w:firstLine="0"/>
        <w:jc w:val="both"/>
        <w:rPr>
          <w:rFonts w:ascii="Tahoma" w:eastAsiaTheme="minorHAnsi" w:hAnsi="Tahoma" w:cs="Tahoma"/>
          <w:color w:val="auto"/>
          <w:sz w:val="22"/>
          <w:szCs w:val="22"/>
          <w:lang w:eastAsia="en-US"/>
        </w:rPr>
      </w:pPr>
      <w:r w:rsidRPr="00F81E12">
        <w:rPr>
          <w:rFonts w:ascii="Tahoma" w:eastAsiaTheme="minorHAnsi" w:hAnsi="Tahoma" w:cs="Tahoma"/>
          <w:color w:val="auto"/>
          <w:sz w:val="22"/>
          <w:szCs w:val="22"/>
          <w:lang w:eastAsia="en-US"/>
        </w:rPr>
        <w:t>Decreto de autorização, em se tratando de empresa ou sociedade estrangeira em funcionamento no país, e ato de registro ou autorização para funcionamento expedido pelo órgão competente, quando a atividade assim o exigir.</w:t>
      </w:r>
    </w:p>
    <w:p w:rsidR="00F43A3B" w:rsidRPr="00F81E12" w:rsidRDefault="00F43A3B" w:rsidP="00F81E12">
      <w:pPr>
        <w:pStyle w:val="NormalWeb"/>
        <w:tabs>
          <w:tab w:val="num" w:pos="0"/>
        </w:tabs>
        <w:spacing w:before="0" w:after="0" w:line="360" w:lineRule="auto"/>
        <w:jc w:val="both"/>
        <w:rPr>
          <w:rFonts w:ascii="Tahoma" w:hAnsi="Tahoma" w:cs="Tahoma"/>
          <w:color w:val="auto"/>
          <w:sz w:val="22"/>
          <w:szCs w:val="22"/>
        </w:rPr>
      </w:pPr>
    </w:p>
    <w:p w:rsidR="00F43A3B" w:rsidRPr="00F81E12" w:rsidRDefault="00F43A3B" w:rsidP="00F81E12">
      <w:pPr>
        <w:pStyle w:val="NormalWeb"/>
        <w:tabs>
          <w:tab w:val="num" w:pos="0"/>
        </w:tabs>
        <w:spacing w:before="0" w:after="0" w:line="360" w:lineRule="auto"/>
        <w:jc w:val="both"/>
        <w:rPr>
          <w:rFonts w:ascii="Tahoma" w:hAnsi="Tahoma" w:cs="Tahoma"/>
          <w:color w:val="auto"/>
          <w:sz w:val="22"/>
          <w:szCs w:val="22"/>
        </w:rPr>
      </w:pPr>
      <w:r w:rsidRPr="00F81E12">
        <w:rPr>
          <w:rFonts w:ascii="Tahoma" w:hAnsi="Tahoma" w:cs="Tahoma"/>
          <w:color w:val="auto"/>
          <w:sz w:val="22"/>
          <w:szCs w:val="22"/>
        </w:rPr>
        <w:t xml:space="preserve">Para comprovação da </w:t>
      </w:r>
      <w:r w:rsidRPr="00F81E12">
        <w:rPr>
          <w:rFonts w:ascii="Tahoma" w:hAnsi="Tahoma" w:cs="Tahoma"/>
          <w:b/>
          <w:bCs/>
          <w:color w:val="auto"/>
          <w:sz w:val="22"/>
          <w:szCs w:val="22"/>
        </w:rPr>
        <w:t>qualificação Fiscal e Trabalhista</w:t>
      </w:r>
      <w:r w:rsidRPr="00F81E12">
        <w:rPr>
          <w:rFonts w:ascii="Tahoma" w:hAnsi="Tahoma" w:cs="Tahoma"/>
          <w:color w:val="auto"/>
          <w:sz w:val="22"/>
          <w:szCs w:val="22"/>
        </w:rPr>
        <w:t>:</w:t>
      </w:r>
    </w:p>
    <w:p w:rsidR="00F43A3B" w:rsidRPr="00F81E12" w:rsidRDefault="00F43A3B" w:rsidP="00F81E12">
      <w:pPr>
        <w:pStyle w:val="NormalWeb"/>
        <w:tabs>
          <w:tab w:val="num" w:pos="0"/>
        </w:tabs>
        <w:spacing w:before="0" w:after="0" w:line="360" w:lineRule="auto"/>
        <w:jc w:val="both"/>
        <w:rPr>
          <w:rFonts w:ascii="Tahoma" w:eastAsiaTheme="minorHAnsi" w:hAnsi="Tahoma" w:cs="Tahoma"/>
          <w:color w:val="auto"/>
          <w:sz w:val="22"/>
          <w:szCs w:val="22"/>
          <w:lang w:eastAsia="en-US"/>
        </w:rPr>
      </w:pPr>
    </w:p>
    <w:p w:rsidR="00F43A3B" w:rsidRPr="00F81E12" w:rsidRDefault="00F43A3B" w:rsidP="00F81E12">
      <w:pPr>
        <w:pStyle w:val="NormalWeb"/>
        <w:numPr>
          <w:ilvl w:val="0"/>
          <w:numId w:val="6"/>
        </w:numPr>
        <w:spacing w:before="0" w:after="0" w:line="360" w:lineRule="auto"/>
        <w:jc w:val="both"/>
        <w:rPr>
          <w:rFonts w:ascii="Tahoma" w:hAnsi="Tahoma" w:cs="Tahoma"/>
          <w:color w:val="auto"/>
          <w:sz w:val="22"/>
          <w:szCs w:val="22"/>
        </w:rPr>
      </w:pPr>
      <w:r w:rsidRPr="00F81E12">
        <w:rPr>
          <w:rFonts w:ascii="Tahoma" w:hAnsi="Tahoma" w:cs="Tahoma"/>
          <w:color w:val="auto"/>
          <w:sz w:val="22"/>
          <w:szCs w:val="22"/>
        </w:rPr>
        <w:t>Prova de inscrição no Cadastro Nacional de Pessoa Jurídica – CNPJ;</w:t>
      </w:r>
    </w:p>
    <w:p w:rsidR="00F43A3B" w:rsidRPr="00F81E12" w:rsidRDefault="00F43A3B" w:rsidP="00F81E12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rPr>
          <w:rFonts w:ascii="Tahoma" w:hAnsi="Tahoma" w:cs="Tahoma"/>
        </w:rPr>
      </w:pPr>
      <w:r w:rsidRPr="00F81E12">
        <w:rPr>
          <w:rFonts w:ascii="Tahoma" w:hAnsi="Tahoma" w:cs="Tahoma"/>
        </w:rPr>
        <w:t>Certidão Negativa da Dívida Ativa da União e Certidão de Quitação de Tributos e Contribuições Federais (</w:t>
      </w:r>
      <w:r w:rsidRPr="00F81E12">
        <w:rPr>
          <w:rFonts w:ascii="Tahoma" w:hAnsi="Tahoma" w:cs="Tahoma"/>
          <w:shd w:val="clear" w:color="auto" w:fill="FFFFFF"/>
        </w:rPr>
        <w:t>com base na Portaria Conjunta RFB/PGFN n</w:t>
      </w:r>
      <w:r w:rsidRPr="00F81E12">
        <w:rPr>
          <w:rFonts w:ascii="Tahoma" w:hAnsi="Tahoma" w:cs="Tahoma"/>
          <w:u w:val="single"/>
          <w:shd w:val="clear" w:color="auto" w:fill="FFFFFF"/>
          <w:vertAlign w:val="superscript"/>
        </w:rPr>
        <w:t>o</w:t>
      </w:r>
      <w:r w:rsidRPr="00F81E12">
        <w:rPr>
          <w:rStyle w:val="apple-converted-space"/>
          <w:rFonts w:ascii="Tahoma" w:hAnsi="Tahoma" w:cs="Tahoma"/>
          <w:shd w:val="clear" w:color="auto" w:fill="FFFFFF"/>
        </w:rPr>
        <w:t> </w:t>
      </w:r>
      <w:r w:rsidRPr="00F81E12">
        <w:rPr>
          <w:rFonts w:ascii="Tahoma" w:hAnsi="Tahoma" w:cs="Tahoma"/>
          <w:shd w:val="clear" w:color="auto" w:fill="FFFFFF"/>
        </w:rPr>
        <w:t>1.751, de 02/10/2014)</w:t>
      </w:r>
      <w:r w:rsidRPr="00F81E12">
        <w:rPr>
          <w:rFonts w:ascii="Tahoma" w:hAnsi="Tahoma" w:cs="Tahoma"/>
        </w:rPr>
        <w:t>;</w:t>
      </w:r>
    </w:p>
    <w:p w:rsidR="00F43A3B" w:rsidRPr="00F81E12" w:rsidRDefault="00F43A3B" w:rsidP="00F81E12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rPr>
          <w:rFonts w:ascii="Tahoma" w:hAnsi="Tahoma" w:cs="Tahoma"/>
        </w:rPr>
      </w:pPr>
      <w:r w:rsidRPr="00F81E12">
        <w:rPr>
          <w:rFonts w:ascii="Tahoma" w:hAnsi="Tahoma" w:cs="Tahoma"/>
        </w:rPr>
        <w:t xml:space="preserve">Certidão de Regularidade relativa ao Fundo de Garantia por Tempo de Serviços </w:t>
      </w:r>
      <w:r w:rsidRPr="00F81E12">
        <w:rPr>
          <w:rFonts w:ascii="Tahoma" w:hAnsi="Tahoma" w:cs="Tahoma"/>
        </w:rPr>
        <w:lastRenderedPageBreak/>
        <w:t>(F.G.T.S.);</w:t>
      </w:r>
    </w:p>
    <w:p w:rsidR="00F43A3B" w:rsidRPr="00F81E12" w:rsidRDefault="00F43A3B" w:rsidP="00F81E12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rPr>
          <w:rFonts w:ascii="Tahoma" w:hAnsi="Tahoma" w:cs="Tahoma"/>
        </w:rPr>
      </w:pPr>
      <w:r w:rsidRPr="00F81E12">
        <w:rPr>
          <w:rFonts w:ascii="Tahoma" w:hAnsi="Tahoma" w:cs="Tahoma"/>
        </w:rPr>
        <w:t>Prova de regularidade para com a Fazenda Estadual através de Certidão (CND) expedida pela Secretaria de Estado de Fazenda do domicílio ou sede do licitante;</w:t>
      </w:r>
    </w:p>
    <w:p w:rsidR="00F43A3B" w:rsidRPr="00F81E12" w:rsidRDefault="00F43A3B" w:rsidP="00F81E12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rPr>
          <w:rFonts w:ascii="Tahoma" w:hAnsi="Tahoma" w:cs="Tahoma"/>
        </w:rPr>
      </w:pPr>
      <w:r w:rsidRPr="00F81E12">
        <w:rPr>
          <w:rFonts w:ascii="Tahoma" w:hAnsi="Tahoma" w:cs="Tahoma"/>
        </w:rPr>
        <w:t>Certidão Negativa de Débitos Municipais do domicílio ou sede do licitante;</w:t>
      </w:r>
    </w:p>
    <w:p w:rsidR="00F43A3B" w:rsidRPr="00F81E12" w:rsidRDefault="00F43A3B" w:rsidP="00F81E12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rPr>
          <w:rFonts w:ascii="Tahoma" w:hAnsi="Tahoma" w:cs="Tahoma"/>
        </w:rPr>
      </w:pPr>
      <w:r w:rsidRPr="00F81E12">
        <w:rPr>
          <w:rFonts w:ascii="Tahoma" w:hAnsi="Tahoma" w:cs="Tahoma"/>
        </w:rPr>
        <w:t xml:space="preserve"> Prova de inexistência de débitos inadimplidos, perante a Justiça do Trabalho, mediante a apresentação de Certidão Negativa de Débitos Trabalhistas – CNDT;</w:t>
      </w:r>
    </w:p>
    <w:p w:rsidR="00F43A3B" w:rsidRPr="00F81E12" w:rsidRDefault="00F43A3B" w:rsidP="00F81E12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contextualSpacing/>
        <w:rPr>
          <w:rFonts w:ascii="Tahoma" w:hAnsi="Tahoma" w:cs="Tahoma"/>
        </w:rPr>
      </w:pPr>
      <w:r w:rsidRPr="00F81E12">
        <w:rPr>
          <w:rFonts w:ascii="Tahoma" w:hAnsi="Tahoma" w:cs="Tahoma"/>
        </w:rPr>
        <w:t>Certidão Negativa de Falência ou Concordata expedida pelo distribuidor da sede da pessoa jurídica, dentro do prazo de validade quando expresso na própria certidão;</w:t>
      </w:r>
    </w:p>
    <w:p w:rsidR="00F43A3B" w:rsidRPr="00F81E12" w:rsidRDefault="00F43A3B" w:rsidP="00F81E12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ahoma" w:hAnsi="Tahoma" w:cs="Tahoma"/>
        </w:rPr>
      </w:pPr>
      <w:r w:rsidRPr="00F81E12">
        <w:rPr>
          <w:rFonts w:ascii="Tahoma" w:hAnsi="Tahoma" w:cs="Tahoma"/>
          <w:bCs/>
        </w:rPr>
        <w:t xml:space="preserve">Declaração em cumprimento ao disposto no inciso XXXIII do artigo 7º da Constituição Federal, Lei nº. 9854/99 e no Decreto </w:t>
      </w:r>
      <w:proofErr w:type="gramStart"/>
      <w:r w:rsidRPr="00F81E12">
        <w:rPr>
          <w:rFonts w:ascii="Tahoma" w:hAnsi="Tahoma" w:cs="Tahoma"/>
          <w:bCs/>
        </w:rPr>
        <w:t>nº.</w:t>
      </w:r>
      <w:proofErr w:type="gramEnd"/>
      <w:r w:rsidRPr="00F81E12">
        <w:rPr>
          <w:rFonts w:ascii="Tahoma" w:hAnsi="Tahoma" w:cs="Tahoma"/>
          <w:bCs/>
        </w:rPr>
        <w:t>4358/2002, de que não emprega menor de 16 anos,</w:t>
      </w:r>
      <w:r w:rsidRPr="00F81E12">
        <w:rPr>
          <w:rFonts w:ascii="Tahoma" w:hAnsi="Tahoma" w:cs="Tahoma"/>
        </w:rPr>
        <w:t xml:space="preserve"> </w:t>
      </w:r>
      <w:r w:rsidRPr="00F81E12">
        <w:rPr>
          <w:rFonts w:ascii="Tahoma" w:hAnsi="Tahoma" w:cs="Tahoma"/>
          <w:bCs/>
        </w:rPr>
        <w:t>salvo na condição de aprendiz, a partir dos 14 anos</w:t>
      </w:r>
      <w:r w:rsidRPr="00F81E12">
        <w:rPr>
          <w:rFonts w:ascii="Tahoma" w:hAnsi="Tahoma" w:cs="Tahoma"/>
        </w:rPr>
        <w:t xml:space="preserve">; </w:t>
      </w:r>
    </w:p>
    <w:p w:rsidR="00F43A3B" w:rsidRPr="00F81E12" w:rsidRDefault="00F43A3B" w:rsidP="00F81E12">
      <w:pPr>
        <w:pStyle w:val="NormalWeb"/>
        <w:tabs>
          <w:tab w:val="num" w:pos="0"/>
        </w:tabs>
        <w:spacing w:before="0" w:after="0" w:line="360" w:lineRule="auto"/>
        <w:jc w:val="both"/>
        <w:rPr>
          <w:rFonts w:ascii="Tahoma" w:eastAsiaTheme="minorHAnsi" w:hAnsi="Tahoma" w:cs="Tahoma"/>
          <w:color w:val="auto"/>
          <w:sz w:val="22"/>
          <w:szCs w:val="22"/>
          <w:lang w:eastAsia="en-US"/>
        </w:rPr>
      </w:pP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b/>
          <w:bCs/>
        </w:rPr>
      </w:pP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b/>
          <w:bCs/>
        </w:rPr>
      </w:pPr>
      <w:r w:rsidRPr="00F81E12">
        <w:rPr>
          <w:rFonts w:ascii="Tahoma" w:hAnsi="Tahoma" w:cs="Tahoma"/>
          <w:b/>
          <w:bCs/>
        </w:rPr>
        <w:t>4 – CONDIÇÕES PARA O FORNECIMENTO DAS PEÇAS</w:t>
      </w: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</w:p>
    <w:p w:rsidR="00F43A3B" w:rsidRPr="00F81E12" w:rsidRDefault="00F43A3B" w:rsidP="00F81E12">
      <w:pPr>
        <w:spacing w:after="0" w:line="360" w:lineRule="auto"/>
        <w:jc w:val="both"/>
        <w:rPr>
          <w:rFonts w:ascii="Tahoma" w:hAnsi="Tahoma" w:cs="Tahoma"/>
          <w:b/>
          <w:bCs/>
          <w:highlight w:val="yellow"/>
          <w:u w:val="single"/>
        </w:rPr>
      </w:pPr>
      <w:r w:rsidRPr="00F81E12">
        <w:rPr>
          <w:rFonts w:ascii="Tahoma" w:hAnsi="Tahoma" w:cs="Tahoma"/>
        </w:rPr>
        <w:t xml:space="preserve">4.1. O Departamento de Compras efetuará a solicitação de orçamento referente às peças que necessita adquirir através de </w:t>
      </w:r>
      <w:proofErr w:type="spellStart"/>
      <w:r w:rsidRPr="00F81E12">
        <w:rPr>
          <w:rFonts w:ascii="Tahoma" w:hAnsi="Tahoma" w:cs="Tahoma"/>
        </w:rPr>
        <w:t>email</w:t>
      </w:r>
      <w:proofErr w:type="spellEnd"/>
      <w:r w:rsidRPr="00F81E12">
        <w:rPr>
          <w:rFonts w:ascii="Tahoma" w:hAnsi="Tahoma" w:cs="Tahoma"/>
        </w:rPr>
        <w:t xml:space="preserve"> que será enviado às empresas credenciadas.  O prazo para o envio do respectivo orçamento pelas empresas será de 24 horas após a emissão do pedido pelo Departamento de Compras. </w:t>
      </w:r>
    </w:p>
    <w:p w:rsidR="00F43A3B" w:rsidRPr="00F81E12" w:rsidRDefault="00F43A3B" w:rsidP="00F81E12">
      <w:pPr>
        <w:spacing w:after="0" w:line="360" w:lineRule="auto"/>
        <w:jc w:val="both"/>
        <w:rPr>
          <w:rFonts w:ascii="Tahoma" w:hAnsi="Tahoma" w:cs="Tahoma"/>
        </w:rPr>
      </w:pPr>
    </w:p>
    <w:p w:rsidR="00F43A3B" w:rsidRPr="00F81E12" w:rsidRDefault="00F43A3B" w:rsidP="00F81E12">
      <w:pPr>
        <w:spacing w:after="0" w:line="360" w:lineRule="auto"/>
        <w:jc w:val="both"/>
        <w:rPr>
          <w:rFonts w:ascii="Tahoma" w:hAnsi="Tahoma" w:cs="Tahoma"/>
          <w:b/>
          <w:bCs/>
          <w:highlight w:val="yellow"/>
          <w:u w:val="single"/>
        </w:rPr>
      </w:pPr>
      <w:r w:rsidRPr="00F81E12">
        <w:rPr>
          <w:rFonts w:ascii="Tahoma" w:hAnsi="Tahoma" w:cs="Tahoma"/>
        </w:rPr>
        <w:t>4.2. Somente depois de o orçamento ser aprovado pelo Departamento de Compras, a Administração irá efetivar a aquisição das peças e materiais, sendo emitida a respectiva nota fiscal eletrônica em nome da Prefeitura Municipal de Celso Ramos, que se responsabilizará pelo pagamento.</w:t>
      </w:r>
    </w:p>
    <w:p w:rsidR="00F43A3B" w:rsidRPr="00F81E12" w:rsidRDefault="00F43A3B" w:rsidP="00F81E12">
      <w:pPr>
        <w:spacing w:after="0" w:line="360" w:lineRule="auto"/>
        <w:jc w:val="both"/>
        <w:rPr>
          <w:rFonts w:ascii="Tahoma" w:hAnsi="Tahoma" w:cs="Tahoma"/>
        </w:rPr>
      </w:pPr>
    </w:p>
    <w:p w:rsidR="00F43A3B" w:rsidRPr="00F81E12" w:rsidRDefault="00F43A3B" w:rsidP="00F81E12">
      <w:pPr>
        <w:spacing w:after="0" w:line="360" w:lineRule="auto"/>
        <w:jc w:val="both"/>
        <w:rPr>
          <w:rFonts w:ascii="Tahoma" w:hAnsi="Tahoma" w:cs="Tahoma"/>
        </w:rPr>
      </w:pPr>
      <w:r w:rsidRPr="00F81E12">
        <w:rPr>
          <w:rFonts w:ascii="Tahoma" w:hAnsi="Tahoma" w:cs="Tahoma"/>
        </w:rPr>
        <w:t>4.3. Não se admitirá de forma alguma orçamentos repetitivos e nem via fax, sendo aceito por e-mail ou a via original.</w:t>
      </w:r>
    </w:p>
    <w:p w:rsidR="00F43A3B" w:rsidRPr="00F81E12" w:rsidRDefault="00F43A3B" w:rsidP="00F81E12">
      <w:pPr>
        <w:spacing w:after="0" w:line="360" w:lineRule="auto"/>
        <w:jc w:val="both"/>
        <w:rPr>
          <w:rFonts w:ascii="Tahoma" w:hAnsi="Tahoma" w:cs="Tahoma"/>
        </w:rPr>
      </w:pPr>
    </w:p>
    <w:p w:rsidR="00F43A3B" w:rsidRPr="00F81E12" w:rsidRDefault="00F43A3B" w:rsidP="00F81E12">
      <w:pPr>
        <w:spacing w:after="0" w:line="360" w:lineRule="auto"/>
        <w:jc w:val="both"/>
        <w:rPr>
          <w:rFonts w:ascii="Tahoma" w:hAnsi="Tahoma" w:cs="Tahoma"/>
        </w:rPr>
      </w:pPr>
      <w:r w:rsidRPr="00F81E12">
        <w:rPr>
          <w:rFonts w:ascii="Tahoma" w:hAnsi="Tahoma" w:cs="Tahoma"/>
        </w:rPr>
        <w:t>4.4. Os orçamentos deverão ser em papel timbrado da empresa contendo no mínimo: descrição completa do material cotado, carimbo do CNPJ, identificação do responsável pela assinatura, prazo de validade do orçamento e data.</w:t>
      </w:r>
    </w:p>
    <w:p w:rsidR="00F43A3B" w:rsidRPr="00F81E12" w:rsidRDefault="00F43A3B" w:rsidP="00F81E12">
      <w:pPr>
        <w:spacing w:after="0" w:line="360" w:lineRule="auto"/>
        <w:jc w:val="both"/>
        <w:rPr>
          <w:rFonts w:ascii="Tahoma" w:hAnsi="Tahoma" w:cs="Tahoma"/>
        </w:rPr>
      </w:pPr>
    </w:p>
    <w:p w:rsidR="00F43A3B" w:rsidRPr="00F81E12" w:rsidRDefault="00F43A3B" w:rsidP="00F81E12">
      <w:pPr>
        <w:spacing w:after="0" w:line="360" w:lineRule="auto"/>
        <w:jc w:val="both"/>
        <w:rPr>
          <w:rFonts w:ascii="Tahoma" w:hAnsi="Tahoma" w:cs="Tahoma"/>
        </w:rPr>
      </w:pPr>
      <w:r w:rsidRPr="00F81E12">
        <w:rPr>
          <w:rFonts w:ascii="Tahoma" w:hAnsi="Tahoma" w:cs="Tahoma"/>
        </w:rPr>
        <w:t xml:space="preserve">4.5. Serão considerados nulos os orçamentos, quando existirem circunstâncias caracterizadoras de ajustes para burlar preços junto </w:t>
      </w:r>
      <w:proofErr w:type="gramStart"/>
      <w:r w:rsidRPr="00F81E12">
        <w:rPr>
          <w:rFonts w:ascii="Tahoma" w:hAnsi="Tahoma" w:cs="Tahoma"/>
        </w:rPr>
        <w:t>a</w:t>
      </w:r>
      <w:proofErr w:type="gramEnd"/>
      <w:r w:rsidRPr="00F81E12">
        <w:rPr>
          <w:rFonts w:ascii="Tahoma" w:hAnsi="Tahoma" w:cs="Tahoma"/>
        </w:rPr>
        <w:t xml:space="preserve"> administração, especialmente mediante apresentação recíprocas ou de orçamentos idênticos por parte das empresas credenciadas. </w:t>
      </w:r>
    </w:p>
    <w:p w:rsidR="00F43A3B" w:rsidRPr="00F81E12" w:rsidRDefault="00F43A3B" w:rsidP="00F81E12">
      <w:pPr>
        <w:spacing w:after="0" w:line="360" w:lineRule="auto"/>
        <w:jc w:val="both"/>
        <w:rPr>
          <w:rFonts w:ascii="Tahoma" w:hAnsi="Tahoma" w:cs="Tahoma"/>
        </w:rPr>
      </w:pPr>
    </w:p>
    <w:p w:rsidR="00F43A3B" w:rsidRPr="00F81E12" w:rsidRDefault="00F43A3B" w:rsidP="00F81E12">
      <w:pPr>
        <w:spacing w:after="0" w:line="360" w:lineRule="auto"/>
        <w:jc w:val="both"/>
        <w:rPr>
          <w:rFonts w:ascii="Tahoma" w:hAnsi="Tahoma" w:cs="Tahoma"/>
        </w:rPr>
      </w:pPr>
      <w:r w:rsidRPr="00F81E12">
        <w:rPr>
          <w:rFonts w:ascii="Tahoma" w:hAnsi="Tahoma" w:cs="Tahoma"/>
        </w:rPr>
        <w:t xml:space="preserve">4.6. O Departamento de Compras e licitações efetuará a análise dos orçamentos enviados pelas empresas credenciadas e fará a aquisição das peças junto ao estabelecimento que ofertar o menor preço. </w:t>
      </w: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b/>
          <w:bCs/>
        </w:rPr>
      </w:pP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b/>
          <w:bCs/>
        </w:rPr>
      </w:pPr>
      <w:r w:rsidRPr="00F81E12">
        <w:rPr>
          <w:rFonts w:ascii="Tahoma" w:hAnsi="Tahoma" w:cs="Tahoma"/>
          <w:b/>
          <w:bCs/>
        </w:rPr>
        <w:t>5 – DO PAGAMENTO E DA DOTAÇAO ORÇAMENTÁRIA</w:t>
      </w: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F81E12">
        <w:rPr>
          <w:rFonts w:ascii="Tahoma" w:hAnsi="Tahoma" w:cs="Tahoma"/>
        </w:rPr>
        <w:t xml:space="preserve">5.1 - O pagamento das peças adquiridas será efetuado em favor da empresa credenciada que ofertar o menos preço, mediante crédito em conta corrente de titularidade dos fornecedores devidamente identificados, em até 30 dias após o envio da respectiva Nota Fiscal/Fatura ao Departamento de Compras da Prefeitura Municipal de Celso Ramos.  </w:t>
      </w:r>
    </w:p>
    <w:p w:rsidR="00F43A3B" w:rsidRPr="00F81E12" w:rsidRDefault="00F43A3B" w:rsidP="00F81E12">
      <w:pPr>
        <w:spacing w:after="0" w:line="360" w:lineRule="auto"/>
        <w:jc w:val="both"/>
        <w:rPr>
          <w:rFonts w:ascii="Tahoma" w:hAnsi="Tahoma" w:cs="Tahoma"/>
        </w:rPr>
      </w:pPr>
    </w:p>
    <w:p w:rsidR="00F43A3B" w:rsidRPr="00F81E12" w:rsidRDefault="00F43A3B" w:rsidP="00F81E12">
      <w:pPr>
        <w:spacing w:after="0" w:line="360" w:lineRule="auto"/>
        <w:jc w:val="both"/>
        <w:rPr>
          <w:rFonts w:ascii="Tahoma" w:hAnsi="Tahoma" w:cs="Tahoma"/>
        </w:rPr>
      </w:pPr>
      <w:r w:rsidRPr="00F81E12">
        <w:rPr>
          <w:rFonts w:ascii="Tahoma" w:hAnsi="Tahoma" w:cs="Tahoma"/>
        </w:rPr>
        <w:t xml:space="preserve">5.2. As despesas decorrentes do fornecimento de peças objeto do presente Edital correrão a conta de dotação específica do orçamento do exercício de </w:t>
      </w:r>
      <w:r w:rsidR="0018293A" w:rsidRPr="0018293A">
        <w:rPr>
          <w:rFonts w:ascii="Tahoma" w:hAnsi="Tahoma" w:cs="Tahoma"/>
          <w:b/>
        </w:rPr>
        <w:t>2017 E 2018.</w:t>
      </w: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b/>
          <w:bCs/>
        </w:rPr>
      </w:pP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F81E12">
        <w:rPr>
          <w:rFonts w:ascii="Tahoma" w:hAnsi="Tahoma" w:cs="Tahoma"/>
          <w:b/>
          <w:bCs/>
        </w:rPr>
        <w:t>6 – INFORMAÇÕES</w:t>
      </w: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F81E12">
        <w:rPr>
          <w:rFonts w:ascii="Tahoma" w:hAnsi="Tahoma" w:cs="Tahoma"/>
        </w:rPr>
        <w:t xml:space="preserve">Maiores informações poderão ser obtidas junto ao Setor de Compras e Licitações da Prefeitura Municipal de Celso Ramos pelo telefone (49) 3547 1211.  </w:t>
      </w: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</w:rPr>
      </w:pPr>
      <w:r w:rsidRPr="00F81E12">
        <w:rPr>
          <w:rFonts w:ascii="Tahoma" w:hAnsi="Tahoma" w:cs="Tahoma"/>
        </w:rPr>
        <w:lastRenderedPageBreak/>
        <w:t xml:space="preserve">Celso Ramos, 23 de fevereiro de 2017. </w:t>
      </w: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b/>
          <w:bCs/>
        </w:rPr>
      </w:pPr>
    </w:p>
    <w:p w:rsidR="00F43A3B" w:rsidRPr="00F81E12" w:rsidRDefault="00F43A3B" w:rsidP="00F81E12">
      <w:pPr>
        <w:autoSpaceDE w:val="0"/>
        <w:autoSpaceDN w:val="0"/>
        <w:adjustRightInd w:val="0"/>
        <w:spacing w:after="0" w:line="360" w:lineRule="auto"/>
        <w:jc w:val="both"/>
        <w:rPr>
          <w:rFonts w:ascii="Tahoma" w:hAnsi="Tahoma" w:cs="Tahoma"/>
          <w:b/>
          <w:bCs/>
        </w:rPr>
      </w:pPr>
    </w:p>
    <w:p w:rsidR="00F43A3B" w:rsidRPr="00F81E12" w:rsidRDefault="00F43A3B" w:rsidP="00F81E12">
      <w:pPr>
        <w:spacing w:after="0" w:line="360" w:lineRule="auto"/>
        <w:jc w:val="center"/>
        <w:rPr>
          <w:rFonts w:ascii="Tahoma" w:hAnsi="Tahoma" w:cs="Tahoma"/>
          <w:bCs/>
        </w:rPr>
      </w:pPr>
    </w:p>
    <w:p w:rsidR="00F43A3B" w:rsidRPr="00F81E12" w:rsidRDefault="00F43A3B" w:rsidP="00F81E12">
      <w:pPr>
        <w:spacing w:after="0" w:line="360" w:lineRule="auto"/>
        <w:jc w:val="center"/>
        <w:rPr>
          <w:rFonts w:ascii="Tahoma" w:hAnsi="Tahoma" w:cs="Tahoma"/>
          <w:bCs/>
        </w:rPr>
      </w:pPr>
      <w:r w:rsidRPr="00F81E12">
        <w:rPr>
          <w:rFonts w:ascii="Tahoma" w:hAnsi="Tahoma" w:cs="Tahoma"/>
          <w:bCs/>
        </w:rPr>
        <w:t>ONDINO RIBEIRO DE MEDEIROS</w:t>
      </w:r>
    </w:p>
    <w:p w:rsidR="00F43A3B" w:rsidRPr="00F81E12" w:rsidRDefault="00F43A3B" w:rsidP="00F81E12">
      <w:pPr>
        <w:spacing w:after="0" w:line="360" w:lineRule="auto"/>
        <w:jc w:val="center"/>
        <w:rPr>
          <w:rFonts w:ascii="Tahoma" w:hAnsi="Tahoma" w:cs="Tahoma"/>
        </w:rPr>
      </w:pPr>
      <w:r w:rsidRPr="00F81E12">
        <w:rPr>
          <w:rFonts w:ascii="Tahoma" w:hAnsi="Tahoma" w:cs="Tahoma"/>
          <w:bCs/>
        </w:rPr>
        <w:t>Prefeito Municipal</w:t>
      </w:r>
    </w:p>
    <w:p w:rsidR="00F43A3B" w:rsidRPr="00F81E12" w:rsidRDefault="00F43A3B" w:rsidP="00F81E12">
      <w:pPr>
        <w:spacing w:after="0" w:line="360" w:lineRule="auto"/>
        <w:rPr>
          <w:rFonts w:ascii="Tahoma" w:hAnsi="Tahoma" w:cs="Tahoma"/>
        </w:rPr>
      </w:pPr>
    </w:p>
    <w:p w:rsidR="00F43A3B" w:rsidRPr="00F81E12" w:rsidRDefault="00F43A3B" w:rsidP="00F81E12">
      <w:pPr>
        <w:spacing w:after="0" w:line="360" w:lineRule="auto"/>
        <w:rPr>
          <w:rFonts w:ascii="Tahoma" w:hAnsi="Tahoma" w:cs="Tahoma"/>
        </w:rPr>
      </w:pPr>
    </w:p>
    <w:p w:rsidR="00BF04F5" w:rsidRPr="00F81E12" w:rsidRDefault="00BF04F5" w:rsidP="00F81E12">
      <w:pPr>
        <w:spacing w:after="0" w:line="360" w:lineRule="auto"/>
        <w:rPr>
          <w:rFonts w:ascii="Tahoma" w:hAnsi="Tahoma" w:cs="Tahoma"/>
        </w:rPr>
      </w:pPr>
    </w:p>
    <w:sectPr w:rsidR="00BF04F5" w:rsidRPr="00F81E12" w:rsidSect="00FA71D9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6687" w:rsidRDefault="00776687" w:rsidP="009721C8">
      <w:pPr>
        <w:spacing w:after="0" w:line="240" w:lineRule="auto"/>
      </w:pPr>
      <w:r>
        <w:separator/>
      </w:r>
    </w:p>
  </w:endnote>
  <w:endnote w:type="continuationSeparator" w:id="0">
    <w:p w:rsidR="00776687" w:rsidRDefault="00776687" w:rsidP="00972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083" w:rsidRDefault="00A758FB">
    <w:pPr>
      <w:pStyle w:val="Rodap"/>
    </w:pPr>
    <w:r>
      <w:rPr>
        <w:noProof/>
      </w:rPr>
      <w:drawing>
        <wp:anchor distT="0" distB="0" distL="114300" distR="114300" simplePos="0" relativeHeight="251665408" behindDoc="0" locked="0" layoutInCell="1" allowOverlap="1" wp14:anchorId="31C91EE3" wp14:editId="0BB2C296">
          <wp:simplePos x="0" y="0"/>
          <wp:positionH relativeFrom="column">
            <wp:posOffset>-346710</wp:posOffset>
          </wp:positionH>
          <wp:positionV relativeFrom="paragraph">
            <wp:posOffset>-728345</wp:posOffset>
          </wp:positionV>
          <wp:extent cx="6276975" cy="1019175"/>
          <wp:effectExtent l="0" t="0" r="9525" b="9525"/>
          <wp:wrapSquare wrapText="bothSides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69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6687" w:rsidRDefault="00776687" w:rsidP="009721C8">
      <w:pPr>
        <w:spacing w:after="0" w:line="240" w:lineRule="auto"/>
      </w:pPr>
      <w:r>
        <w:separator/>
      </w:r>
    </w:p>
  </w:footnote>
  <w:footnote w:type="continuationSeparator" w:id="0">
    <w:p w:rsidR="00776687" w:rsidRDefault="00776687" w:rsidP="009721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083" w:rsidRDefault="00A758FB">
    <w:pPr>
      <w:pStyle w:val="Cabealho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650B1EA0" wp14:editId="76A2CC78">
          <wp:simplePos x="0" y="0"/>
          <wp:positionH relativeFrom="column">
            <wp:posOffset>-342265</wp:posOffset>
          </wp:positionH>
          <wp:positionV relativeFrom="paragraph">
            <wp:posOffset>-114935</wp:posOffset>
          </wp:positionV>
          <wp:extent cx="6372225" cy="1295400"/>
          <wp:effectExtent l="0" t="0" r="9525" b="0"/>
          <wp:wrapSquare wrapText="bothSides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2225" cy="1295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30083" w:rsidRDefault="0077668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97C5B"/>
    <w:multiLevelType w:val="multilevel"/>
    <w:tmpl w:val="1F58FCA8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F52174"/>
    <w:multiLevelType w:val="multilevel"/>
    <w:tmpl w:val="470AC3F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D55BE1"/>
    <w:multiLevelType w:val="multilevel"/>
    <w:tmpl w:val="3B48B3A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A47571"/>
    <w:multiLevelType w:val="multilevel"/>
    <w:tmpl w:val="6BAE7AD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8D53D9"/>
    <w:multiLevelType w:val="multilevel"/>
    <w:tmpl w:val="D73469D4"/>
    <w:lvl w:ilvl="0">
      <w:start w:val="9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3F7D85"/>
    <w:multiLevelType w:val="multilevel"/>
    <w:tmpl w:val="5BC6224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B6F5F04"/>
    <w:multiLevelType w:val="multilevel"/>
    <w:tmpl w:val="C5E0DD38"/>
    <w:lvl w:ilvl="0">
      <w:start w:val="10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E365B96"/>
    <w:multiLevelType w:val="multilevel"/>
    <w:tmpl w:val="94448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">
    <w:nsid w:val="3F6E1BA1"/>
    <w:multiLevelType w:val="multilevel"/>
    <w:tmpl w:val="29DEAAE2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9">
    <w:nsid w:val="400701A2"/>
    <w:multiLevelType w:val="multilevel"/>
    <w:tmpl w:val="AC12DE66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6590D9A"/>
    <w:multiLevelType w:val="hybridMultilevel"/>
    <w:tmpl w:val="D88627F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084186"/>
    <w:multiLevelType w:val="multilevel"/>
    <w:tmpl w:val="C3ECA9D6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8FD6456"/>
    <w:multiLevelType w:val="multilevel"/>
    <w:tmpl w:val="0D1AEBB8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20A1AFA"/>
    <w:multiLevelType w:val="multilevel"/>
    <w:tmpl w:val="26782ADE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2594C73"/>
    <w:multiLevelType w:val="multilevel"/>
    <w:tmpl w:val="4E2EB298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52A4F34"/>
    <w:multiLevelType w:val="multilevel"/>
    <w:tmpl w:val="7A3CF688"/>
    <w:lvl w:ilvl="0">
      <w:start w:val="8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7DF1A1C"/>
    <w:multiLevelType w:val="multilevel"/>
    <w:tmpl w:val="C9E6F83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1E65AE5"/>
    <w:multiLevelType w:val="multilevel"/>
    <w:tmpl w:val="8DC8D16A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3"/>
  </w:num>
  <w:num w:numId="3">
    <w:abstractNumId w:val="2"/>
  </w:num>
  <w:num w:numId="4">
    <w:abstractNumId w:val="17"/>
  </w:num>
  <w:num w:numId="5">
    <w:abstractNumId w:val="11"/>
  </w:num>
  <w:num w:numId="6">
    <w:abstractNumId w:val="1"/>
  </w:num>
  <w:num w:numId="7">
    <w:abstractNumId w:val="5"/>
  </w:num>
  <w:num w:numId="8">
    <w:abstractNumId w:val="12"/>
  </w:num>
  <w:num w:numId="9">
    <w:abstractNumId w:val="7"/>
  </w:num>
  <w:num w:numId="10">
    <w:abstractNumId w:val="14"/>
  </w:num>
  <w:num w:numId="11">
    <w:abstractNumId w:val="0"/>
  </w:num>
  <w:num w:numId="12">
    <w:abstractNumId w:val="9"/>
  </w:num>
  <w:num w:numId="13">
    <w:abstractNumId w:val="13"/>
  </w:num>
  <w:num w:numId="14">
    <w:abstractNumId w:val="15"/>
  </w:num>
  <w:num w:numId="15">
    <w:abstractNumId w:val="4"/>
  </w:num>
  <w:num w:numId="16">
    <w:abstractNumId w:val="6"/>
  </w:num>
  <w:num w:numId="17">
    <w:abstractNumId w:val="8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F77"/>
    <w:rsid w:val="00011DAF"/>
    <w:rsid w:val="00070F0D"/>
    <w:rsid w:val="000C2374"/>
    <w:rsid w:val="000C5C0F"/>
    <w:rsid w:val="00150561"/>
    <w:rsid w:val="00166FCD"/>
    <w:rsid w:val="0018293A"/>
    <w:rsid w:val="001F3F77"/>
    <w:rsid w:val="00251627"/>
    <w:rsid w:val="003368C4"/>
    <w:rsid w:val="0033765E"/>
    <w:rsid w:val="003437D1"/>
    <w:rsid w:val="003467F1"/>
    <w:rsid w:val="0035541E"/>
    <w:rsid w:val="003A429E"/>
    <w:rsid w:val="003A5674"/>
    <w:rsid w:val="003D56A4"/>
    <w:rsid w:val="003D5928"/>
    <w:rsid w:val="004047F5"/>
    <w:rsid w:val="00412849"/>
    <w:rsid w:val="00422C41"/>
    <w:rsid w:val="00432734"/>
    <w:rsid w:val="00447EA4"/>
    <w:rsid w:val="004906ED"/>
    <w:rsid w:val="004E384A"/>
    <w:rsid w:val="0055064D"/>
    <w:rsid w:val="00557F9C"/>
    <w:rsid w:val="005775BD"/>
    <w:rsid w:val="005C4251"/>
    <w:rsid w:val="005F57A0"/>
    <w:rsid w:val="006104BC"/>
    <w:rsid w:val="0062197F"/>
    <w:rsid w:val="0066004C"/>
    <w:rsid w:val="006767A8"/>
    <w:rsid w:val="0068477D"/>
    <w:rsid w:val="007156F3"/>
    <w:rsid w:val="00741677"/>
    <w:rsid w:val="007745B4"/>
    <w:rsid w:val="00776687"/>
    <w:rsid w:val="007B7BEE"/>
    <w:rsid w:val="008178CB"/>
    <w:rsid w:val="00894607"/>
    <w:rsid w:val="008A2614"/>
    <w:rsid w:val="008B2E09"/>
    <w:rsid w:val="008F03ED"/>
    <w:rsid w:val="00907433"/>
    <w:rsid w:val="00954748"/>
    <w:rsid w:val="009721C8"/>
    <w:rsid w:val="009C5675"/>
    <w:rsid w:val="009F424B"/>
    <w:rsid w:val="00A333BF"/>
    <w:rsid w:val="00A458EF"/>
    <w:rsid w:val="00A745A2"/>
    <w:rsid w:val="00A758FB"/>
    <w:rsid w:val="00AA10F3"/>
    <w:rsid w:val="00AD0769"/>
    <w:rsid w:val="00AF2778"/>
    <w:rsid w:val="00B24240"/>
    <w:rsid w:val="00B41D14"/>
    <w:rsid w:val="00BB28E3"/>
    <w:rsid w:val="00BF04F5"/>
    <w:rsid w:val="00BF13A0"/>
    <w:rsid w:val="00C2644B"/>
    <w:rsid w:val="00C466D3"/>
    <w:rsid w:val="00C52351"/>
    <w:rsid w:val="00C52F76"/>
    <w:rsid w:val="00C822DC"/>
    <w:rsid w:val="00C82520"/>
    <w:rsid w:val="00CE57AE"/>
    <w:rsid w:val="00CE63F7"/>
    <w:rsid w:val="00D45956"/>
    <w:rsid w:val="00E008E4"/>
    <w:rsid w:val="00E00B11"/>
    <w:rsid w:val="00E1758D"/>
    <w:rsid w:val="00E3770C"/>
    <w:rsid w:val="00E93551"/>
    <w:rsid w:val="00F43A3B"/>
    <w:rsid w:val="00F73AB9"/>
    <w:rsid w:val="00F81E12"/>
    <w:rsid w:val="00FF2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9"/>
    <w:qFormat/>
    <w:rsid w:val="00BF04F5"/>
    <w:pPr>
      <w:keepNext/>
      <w:widowControl w:val="0"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43A3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F3F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F3F77"/>
  </w:style>
  <w:style w:type="paragraph" w:styleId="Rodap">
    <w:name w:val="footer"/>
    <w:basedOn w:val="Normal"/>
    <w:link w:val="RodapChar"/>
    <w:uiPriority w:val="99"/>
    <w:unhideWhenUsed/>
    <w:rsid w:val="001F3F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F3F77"/>
  </w:style>
  <w:style w:type="paragraph" w:customStyle="1" w:styleId="ecxmsonormal">
    <w:name w:val="ecxmsonormal"/>
    <w:basedOn w:val="Normal"/>
    <w:uiPriority w:val="99"/>
    <w:rsid w:val="001F3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1F3F77"/>
  </w:style>
  <w:style w:type="paragraph" w:styleId="NormalWeb">
    <w:name w:val="Normal (Web)"/>
    <w:basedOn w:val="Normal"/>
    <w:uiPriority w:val="99"/>
    <w:rsid w:val="001F3F77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western">
    <w:name w:val="western"/>
    <w:basedOn w:val="Normal"/>
    <w:uiPriority w:val="99"/>
    <w:rsid w:val="001F3F77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1F3F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F3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3F77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9"/>
    <w:rsid w:val="00BF04F5"/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F04F5"/>
    <w:pPr>
      <w:ind w:left="720"/>
    </w:pPr>
    <w:rPr>
      <w:rFonts w:ascii="Calibri" w:eastAsia="Calibri" w:hAnsi="Calibri" w:cs="Calibri"/>
    </w:rPr>
  </w:style>
  <w:style w:type="character" w:customStyle="1" w:styleId="SemEspaamentoChar">
    <w:name w:val="Sem Espaçamento Char"/>
    <w:basedOn w:val="Fontepargpadro"/>
    <w:link w:val="SemEspaamento"/>
    <w:uiPriority w:val="1"/>
    <w:locked/>
    <w:rsid w:val="009F424B"/>
    <w:rPr>
      <w:lang w:val="en-US" w:bidi="en-US"/>
    </w:rPr>
  </w:style>
  <w:style w:type="paragraph" w:styleId="SemEspaamento">
    <w:name w:val="No Spacing"/>
    <w:link w:val="SemEspaamentoChar"/>
    <w:uiPriority w:val="1"/>
    <w:qFormat/>
    <w:rsid w:val="009F424B"/>
    <w:pPr>
      <w:spacing w:after="0" w:line="360" w:lineRule="auto"/>
    </w:pPr>
    <w:rPr>
      <w:lang w:val="en-US" w:bidi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43A3B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9"/>
    <w:qFormat/>
    <w:rsid w:val="00BF04F5"/>
    <w:pPr>
      <w:keepNext/>
      <w:widowControl w:val="0"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43A3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F3F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F3F77"/>
  </w:style>
  <w:style w:type="paragraph" w:styleId="Rodap">
    <w:name w:val="footer"/>
    <w:basedOn w:val="Normal"/>
    <w:link w:val="RodapChar"/>
    <w:uiPriority w:val="99"/>
    <w:unhideWhenUsed/>
    <w:rsid w:val="001F3F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F3F77"/>
  </w:style>
  <w:style w:type="paragraph" w:customStyle="1" w:styleId="ecxmsonormal">
    <w:name w:val="ecxmsonormal"/>
    <w:basedOn w:val="Normal"/>
    <w:uiPriority w:val="99"/>
    <w:rsid w:val="001F3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1F3F77"/>
  </w:style>
  <w:style w:type="paragraph" w:styleId="NormalWeb">
    <w:name w:val="Normal (Web)"/>
    <w:basedOn w:val="Normal"/>
    <w:uiPriority w:val="99"/>
    <w:rsid w:val="001F3F77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western">
    <w:name w:val="western"/>
    <w:basedOn w:val="Normal"/>
    <w:uiPriority w:val="99"/>
    <w:rsid w:val="001F3F77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1F3F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F3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3F77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9"/>
    <w:rsid w:val="00BF04F5"/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F04F5"/>
    <w:pPr>
      <w:ind w:left="720"/>
    </w:pPr>
    <w:rPr>
      <w:rFonts w:ascii="Calibri" w:eastAsia="Calibri" w:hAnsi="Calibri" w:cs="Calibri"/>
    </w:rPr>
  </w:style>
  <w:style w:type="character" w:customStyle="1" w:styleId="SemEspaamentoChar">
    <w:name w:val="Sem Espaçamento Char"/>
    <w:basedOn w:val="Fontepargpadro"/>
    <w:link w:val="SemEspaamento"/>
    <w:uiPriority w:val="1"/>
    <w:locked/>
    <w:rsid w:val="009F424B"/>
    <w:rPr>
      <w:lang w:val="en-US" w:bidi="en-US"/>
    </w:rPr>
  </w:style>
  <w:style w:type="paragraph" w:styleId="SemEspaamento">
    <w:name w:val="No Spacing"/>
    <w:link w:val="SemEspaamentoChar"/>
    <w:uiPriority w:val="1"/>
    <w:qFormat/>
    <w:rsid w:val="009F424B"/>
    <w:pPr>
      <w:spacing w:after="0" w:line="360" w:lineRule="auto"/>
    </w:pPr>
    <w:rPr>
      <w:lang w:val="en-US" w:bidi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43A3B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71CE5-6433-4715-B683-D49ADFE16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941</Words>
  <Characters>5085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</dc:creator>
  <cp:lastModifiedBy>User</cp:lastModifiedBy>
  <cp:revision>6</cp:revision>
  <dcterms:created xsi:type="dcterms:W3CDTF">2017-02-20T17:11:00Z</dcterms:created>
  <dcterms:modified xsi:type="dcterms:W3CDTF">2017-02-23T17:20:00Z</dcterms:modified>
</cp:coreProperties>
</file>